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Backend</w:t>
      </w:r>
    </w:p>
    <w:p>
      <w:pPr>
        <w:spacing w:after="300"/>
      </w:pPr>
      <w:r>
        <w:t xml:space="preserve">Documentation technique — etudiant.bj</w:t>
      </w:r>
    </w:p>
    <w:p>
      <w:pPr>
        <w:spacing w:after="100"/>
      </w:pPr>
      <w:r>
        <w:t xml:space="preserve">Bienvenue dans la documentation backend du projet </w:t>
      </w:r>
      <w:r>
        <w:rPr>
          <w:b/>
          <w:bCs/>
        </w:rPr>
        <w:t xml:space="preserve">etudiant.bj</w:t>
      </w:r>
      <w:r>
        <w:t xml:space="preserve">.</w:t>
      </w:r>
    </w:p>
    <w:p>
      <w:pPr>
        <w:spacing w:after="300"/>
      </w:pPr>
      <w:r>
        <w:t xml:space="preserve">Cette section présente l'organisation de la partie serveur de la plateforme, les technologies utilisées ainsi que les différents services responsables de la logique métier.</w:t>
      </w:r>
    </w:p>
    <w:p>
      <w:pPr>
        <w:pStyle w:val="Heading1"/>
      </w:pPr>
      <w:r>
        <w:t xml:space="preserve">Présentation générale</w:t>
      </w:r>
    </w:p>
    <w:p>
      <w:pPr>
        <w:spacing w:after="100"/>
      </w:pPr>
      <w:r>
        <w:t xml:space="preserve">Le backend du projet repose sur une architecture modulaire composée de plusieurs services indépendants.</w:t>
      </w:r>
    </w:p>
    <w:p>
      <w:pPr>
        <w:spacing w:after="100"/>
      </w:pPr>
      <w:r>
        <w:t xml:space="preserve">Cette organisation permet :</w:t>
      </w:r>
    </w:p>
    <w:p>
      <w:pPr>
        <w:pStyle w:val="ListParagraph"/>
        <w:numPr>
          <w:ilvl w:val="0"/>
          <w:numId w:val="1"/>
        </w:numPr>
      </w:pPr>
      <w:r>
        <w:t xml:space="preserve">une séparation claire des responsabilités ;</w:t>
      </w:r>
    </w:p>
    <w:p>
      <w:pPr>
        <w:pStyle w:val="ListParagraph"/>
        <w:numPr>
          <w:ilvl w:val="0"/>
          <w:numId w:val="1"/>
        </w:numPr>
      </w:pPr>
      <w:r>
        <w:t xml:space="preserve">une meilleure maintenabilité du code ;</w:t>
      </w:r>
    </w:p>
    <w:p>
      <w:pPr>
        <w:pStyle w:val="ListParagraph"/>
        <w:numPr>
          <w:ilvl w:val="0"/>
          <w:numId w:val="1"/>
        </w:numPr>
      </w:pPr>
      <w:r>
        <w:t xml:space="preserve">une évolution indépendante des fonctionnalités ;</w:t>
      </w:r>
    </w:p>
    <w:p>
      <w:pPr>
        <w:pStyle w:val="ListParagraph"/>
        <w:numPr>
          <w:ilvl w:val="0"/>
          <w:numId w:val="1"/>
        </w:numPr>
      </w:pPr>
      <w:r>
        <w:t xml:space="preserve">une meilleure gestion de la charge.</w:t>
      </w:r>
    </w:p>
    <w:p>
      <w:pPr>
        <w:spacing w:after="200"/>
      </w:pPr>
    </w:p>
    <w:p>
      <w:pPr>
        <w:pStyle w:val="Heading1"/>
      </w:pPr>
      <w:r>
        <w:t xml:space="preserve">Technologies utilisées</w:t>
      </w:r>
    </w:p>
    <w:p>
      <w:pPr>
        <w:spacing w:after="150"/>
      </w:pPr>
      <w:r>
        <w:t xml:space="preserve">Les principales technologies utilisées côté backend sont :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shd w:fill="1D467A" w:val="clear"/>
          </w:tcPr>
          <w:p>
            <w:r>
              <w:rPr>
                <w:b/>
                <w:bCs/>
                <w:color w:val="FFFFFF"/>
              </w:rPr>
              <w:t xml:space="preserve">Domaine</w:t>
            </w:r>
          </w:p>
        </w:tc>
        <w:tc>
          <w:tcPr>
            <w:tcW w:type="dxa" w:w="4500"/>
            <w:shd w:fill="1D467A" w:val="clear"/>
          </w:tcPr>
          <w:p>
            <w:r>
              <w:rPr>
                <w:b/>
                <w:bCs/>
                <w:color w:val="FFFFFF"/>
              </w:rPr>
              <w:t xml:space="preserve">Technologie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API Gateway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Go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Services backend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NestJS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Langage principal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TypeScript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Base de données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PostgreSQL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Communication entre services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RabbitMQ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Authentification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Keycloak / RBER Connect</w:t>
            </w:r>
          </w:p>
        </w:tc>
      </w:tr>
    </w:tbl>
    <w:p>
      <w:pPr>
        <w:spacing w:after="300"/>
      </w:pPr>
    </w:p>
    <w:p>
      <w:pPr>
        <w:pStyle w:val="Heading1"/>
      </w:pPr>
      <w:r>
        <w:t xml:space="preserve">Organisation des services</w:t>
      </w:r>
    </w:p>
    <w:p>
      <w:pPr>
        <w:spacing w:after="50"/>
      </w:pPr>
      <w:r>
        <w:t xml:space="preserve">Le backend est composé de plusieurs services spécialisés.</w:t>
      </w:r>
    </w:p>
    <w:p>
      <w:pPr>
        <w:spacing w:after="100"/>
      </w:pPr>
      <w:r>
        <w:t xml:space="preserve">Chaque service est responsable d'un domaine fonctionnel précis.</w:t>
      </w:r>
    </w:p>
    <w:p>
      <w:pPr>
        <w:spacing w:after="100"/>
      </w:pPr>
      <w:r>
        <w:t xml:space="preserve">Cette organisation permet :</w:t>
      </w:r>
    </w:p>
    <w:p>
      <w:pPr>
        <w:pStyle w:val="ListParagraph"/>
        <w:numPr>
          <w:ilvl w:val="0"/>
          <w:numId w:val="1"/>
        </w:numPr>
      </w:pPr>
      <w:r>
        <w:t xml:space="preserve">de limiter le couplage entre les composants ;</w:t>
      </w:r>
    </w:p>
    <w:p>
      <w:pPr>
        <w:pStyle w:val="ListParagraph"/>
        <w:numPr>
          <w:ilvl w:val="0"/>
          <w:numId w:val="1"/>
        </w:numPr>
      </w:pPr>
      <w:r>
        <w:t xml:space="preserve">de faciliter les évolutions ;</w:t>
      </w:r>
    </w:p>
    <w:p>
      <w:pPr>
        <w:pStyle w:val="ListParagraph"/>
        <w:numPr>
          <w:ilvl w:val="0"/>
          <w:numId w:val="1"/>
        </w:numPr>
      </w:pPr>
      <w:r>
        <w:t xml:space="preserve">de simplifier la maintenance.</w:t>
      </w:r>
    </w:p>
    <w:p>
      <w:pPr>
        <w:spacing w:after="200"/>
      </w:pPr>
    </w:p>
    <w:p>
      <w:pPr>
        <w:pStyle w:val="Heading1"/>
      </w:pPr>
      <w:r>
        <w:t xml:space="preserve">API Gateway</w:t>
      </w:r>
    </w:p>
    <w:p>
      <w:pPr>
        <w:spacing w:after="100"/>
      </w:pPr>
      <w:r>
        <w:t xml:space="preserve">L'API Gateway constitue le point d'entrée principal du backend.</w:t>
      </w:r>
    </w:p>
    <w:p>
      <w:pPr>
        <w:spacing w:after="100"/>
      </w:pPr>
      <w:r>
        <w:t xml:space="preserve">Son rôle est notamment :</w:t>
      </w:r>
    </w:p>
    <w:p>
      <w:pPr>
        <w:pStyle w:val="ListParagraph"/>
        <w:numPr>
          <w:ilvl w:val="0"/>
          <w:numId w:val="1"/>
        </w:numPr>
      </w:pPr>
      <w:r>
        <w:t xml:space="preserve">recevoir les requêtes provenant du frontend ;</w:t>
      </w:r>
    </w:p>
    <w:p>
      <w:pPr>
        <w:pStyle w:val="ListParagraph"/>
        <w:numPr>
          <w:ilvl w:val="0"/>
          <w:numId w:val="1"/>
        </w:numPr>
      </w:pPr>
      <w:r>
        <w:t xml:space="preserve">orienter les requêtes vers les services concernés ;</w:t>
      </w:r>
    </w:p>
    <w:p>
      <w:pPr>
        <w:pStyle w:val="ListParagraph"/>
        <w:numPr>
          <w:ilvl w:val="0"/>
          <w:numId w:val="1"/>
        </w:numPr>
      </w:pPr>
      <w:r>
        <w:t xml:space="preserve">centraliser certains traitements communs ;</w:t>
      </w:r>
    </w:p>
    <w:p>
      <w:pPr>
        <w:pStyle w:val="ListParagraph"/>
        <w:numPr>
          <w:ilvl w:val="0"/>
          <w:numId w:val="1"/>
        </w:numPr>
      </w:pPr>
      <w:r>
        <w:t xml:space="preserve">sécuriser les échanges.</w:t>
      </w:r>
    </w:p>
    <w:p>
      <w:pPr>
        <w:spacing w:after="200"/>
      </w:pPr>
    </w:p>
    <w:p>
      <w:pPr>
        <w:pStyle w:val="Heading1"/>
      </w:pPr>
      <w:r>
        <w:t xml:space="preserve">Microservices Backend</w:t>
      </w:r>
    </w:p>
    <w:p>
      <w:pPr>
        <w:spacing w:after="100"/>
      </w:pPr>
      <w:r>
        <w:t xml:space="preserve">Les services backend sont développés avec </w:t>
      </w:r>
      <w:r>
        <w:rPr>
          <w:b/>
          <w:bCs/>
        </w:rPr>
        <w:t xml:space="preserve">NestJS</w:t>
      </w:r>
      <w:r>
        <w:t xml:space="preserve"> et </w:t>
      </w:r>
      <w:r>
        <w:rPr>
          <w:b/>
          <w:bCs/>
        </w:rPr>
        <w:t xml:space="preserve">TypeScript</w:t>
      </w:r>
      <w:r>
        <w:t xml:space="preserve">.</w:t>
      </w:r>
    </w:p>
    <w:p>
      <w:pPr>
        <w:spacing w:after="100"/>
      </w:pPr>
      <w:r>
        <w:t xml:space="preserve">Chaque microservice possède :</w:t>
      </w:r>
    </w:p>
    <w:p>
      <w:pPr>
        <w:pStyle w:val="ListParagraph"/>
        <w:numPr>
          <w:ilvl w:val="0"/>
          <w:numId w:val="1"/>
        </w:numPr>
      </w:pPr>
      <w:r>
        <w:t xml:space="preserve">sa propre logique métier ;</w:t>
      </w:r>
    </w:p>
    <w:p>
      <w:pPr>
        <w:pStyle w:val="ListParagraph"/>
        <w:numPr>
          <w:ilvl w:val="0"/>
          <w:numId w:val="1"/>
        </w:numPr>
      </w:pPr>
      <w:r>
        <w:t xml:space="preserve">ses propres responsabilités ;</w:t>
      </w:r>
    </w:p>
    <w:p>
      <w:pPr>
        <w:pStyle w:val="ListParagraph"/>
        <w:numPr>
          <w:ilvl w:val="0"/>
          <w:numId w:val="1"/>
        </w:numPr>
      </w:pPr>
      <w:r>
        <w:t xml:space="preserve">ses contrôleurs ;</w:t>
      </w:r>
    </w:p>
    <w:p>
      <w:pPr>
        <w:pStyle w:val="ListParagraph"/>
        <w:numPr>
          <w:ilvl w:val="0"/>
          <w:numId w:val="1"/>
        </w:numPr>
      </w:pPr>
      <w:r>
        <w:t xml:space="preserve">ses services ;</w:t>
      </w:r>
    </w:p>
    <w:p>
      <w:pPr>
        <w:pStyle w:val="ListParagraph"/>
        <w:numPr>
          <w:ilvl w:val="0"/>
          <w:numId w:val="1"/>
        </w:numPr>
      </w:pPr>
      <w:r>
        <w:t xml:space="preserve">ses modèles de données.</w:t>
      </w:r>
    </w:p>
    <w:p>
      <w:pPr>
        <w:spacing w:after="200"/>
      </w:pPr>
    </w:p>
    <w:p>
      <w:pPr>
        <w:pStyle w:val="Heading1"/>
      </w:pPr>
      <w:r>
        <w:t xml:space="preserve">Communication entre les services</w:t>
      </w:r>
    </w:p>
    <w:p>
      <w:pPr>
        <w:spacing w:after="100"/>
      </w:pPr>
      <w:r>
        <w:t xml:space="preserve">Les services communiquent entre eux grâce à un système de messagerie basé sur </w:t>
      </w:r>
      <w:r>
        <w:rPr>
          <w:b/>
          <w:bCs/>
        </w:rPr>
        <w:t xml:space="preserve">RabbitMQ</w:t>
      </w:r>
      <w:r>
        <w:t xml:space="preserve">.</w:t>
      </w:r>
    </w:p>
    <w:p>
      <w:pPr>
        <w:spacing w:after="100"/>
      </w:pPr>
      <w:r>
        <w:t xml:space="preserve">Cette communication permet :</w:t>
      </w:r>
    </w:p>
    <w:p>
      <w:pPr>
        <w:pStyle w:val="ListParagraph"/>
        <w:numPr>
          <w:ilvl w:val="0"/>
          <w:numId w:val="1"/>
        </w:numPr>
      </w:pPr>
      <w:r>
        <w:t xml:space="preserve">l'échange d'événements ;</w:t>
      </w:r>
    </w:p>
    <w:p>
      <w:pPr>
        <w:pStyle w:val="ListParagraph"/>
        <w:numPr>
          <w:ilvl w:val="0"/>
          <w:numId w:val="1"/>
        </w:numPr>
      </w:pPr>
      <w:r>
        <w:t xml:space="preserve">le traitement asynchrone des opérations ;</w:t>
      </w:r>
    </w:p>
    <w:p>
      <w:pPr>
        <w:pStyle w:val="ListParagraph"/>
        <w:numPr>
          <w:ilvl w:val="0"/>
          <w:numId w:val="1"/>
        </w:numPr>
      </w:pPr>
      <w:r>
        <w:t xml:space="preserve">une meilleure découpe des responsabilités.</w:t>
      </w:r>
    </w:p>
    <w:p>
      <w:pPr>
        <w:spacing w:after="200"/>
      </w:pPr>
    </w:p>
    <w:p>
      <w:pPr>
        <w:pStyle w:val="Heading1"/>
      </w:pPr>
      <w:r>
        <w:t xml:space="preserve">Gestion des données</w:t>
      </w:r>
    </w:p>
    <w:p>
      <w:pPr>
        <w:spacing w:after="100"/>
      </w:pPr>
      <w:r>
        <w:t xml:space="preserve">Les services backend utilisent des bases de données </w:t>
      </w:r>
      <w:r>
        <w:rPr>
          <w:b/>
          <w:bCs/>
        </w:rPr>
        <w:t xml:space="preserve">PostgreSQL</w:t>
      </w:r>
      <w:r>
        <w:t xml:space="preserve"> pour stocker et gérer les informations nécessaires au fonctionnement de la plateforme.</w:t>
      </w:r>
    </w:p>
    <w:p>
      <w:pPr>
        <w:spacing w:after="100"/>
      </w:pPr>
      <w:r>
        <w:t xml:space="preserve">La gestion des données comprend :</w:t>
      </w:r>
    </w:p>
    <w:p>
      <w:pPr>
        <w:pStyle w:val="ListParagraph"/>
        <w:numPr>
          <w:ilvl w:val="0"/>
          <w:numId w:val="1"/>
        </w:numPr>
      </w:pPr>
      <w:r>
        <w:t xml:space="preserve">la définition des modèles ;</w:t>
      </w:r>
    </w:p>
    <w:p>
      <w:pPr>
        <w:pStyle w:val="ListParagraph"/>
        <w:numPr>
          <w:ilvl w:val="0"/>
          <w:numId w:val="1"/>
        </w:numPr>
      </w:pPr>
      <w:r>
        <w:t xml:space="preserve">les relations entre les entités ;</w:t>
      </w:r>
    </w:p>
    <w:p>
      <w:pPr>
        <w:pStyle w:val="ListParagraph"/>
        <w:numPr>
          <w:ilvl w:val="0"/>
          <w:numId w:val="1"/>
        </w:numPr>
      </w:pPr>
      <w:r>
        <w:t xml:space="preserve">les règles métier ;</w:t>
      </w:r>
    </w:p>
    <w:p>
      <w:pPr>
        <w:pStyle w:val="ListParagraph"/>
        <w:numPr>
          <w:ilvl w:val="0"/>
          <w:numId w:val="1"/>
        </w:numPr>
      </w:pPr>
      <w:r>
        <w:t xml:space="preserve">la sécurisation des accès.</w:t>
      </w:r>
    </w:p>
    <w:p>
      <w:pPr>
        <w:spacing w:after="200"/>
      </w:pPr>
    </w:p>
    <w:p>
      <w:pPr>
        <w:pStyle w:val="Heading1"/>
      </w:pPr>
      <w:r>
        <w:t xml:space="preserve">Sécurité</w:t>
      </w:r>
    </w:p>
    <w:p>
      <w:pPr>
        <w:spacing w:after="100"/>
      </w:pPr>
      <w:r>
        <w:t xml:space="preserve">La sécurité backend repose notamment sur :</w:t>
      </w:r>
    </w:p>
    <w:p>
      <w:pPr>
        <w:pStyle w:val="ListParagraph"/>
        <w:numPr>
          <w:ilvl w:val="0"/>
          <w:numId w:val="1"/>
        </w:numPr>
      </w:pPr>
      <w:r>
        <w:t xml:space="preserve">l'authentification des utilisateurs ;</w:t>
      </w:r>
    </w:p>
    <w:p>
      <w:pPr>
        <w:pStyle w:val="ListParagraph"/>
        <w:numPr>
          <w:ilvl w:val="0"/>
          <w:numId w:val="1"/>
        </w:numPr>
      </w:pPr>
      <w:r>
        <w:t xml:space="preserve">la gestion des autorisations ;</w:t>
      </w:r>
    </w:p>
    <w:p>
      <w:pPr>
        <w:pStyle w:val="ListParagraph"/>
        <w:numPr>
          <w:ilvl w:val="0"/>
          <w:numId w:val="1"/>
        </w:numPr>
      </w:pPr>
      <w:r>
        <w:t xml:space="preserve">la sécurisation des échanges entre services ;</w:t>
      </w:r>
    </w:p>
    <w:p>
      <w:pPr>
        <w:pStyle w:val="ListParagraph"/>
        <w:numPr>
          <w:ilvl w:val="0"/>
          <w:numId w:val="1"/>
        </w:numPr>
      </w:pPr>
      <w:r>
        <w:t xml:space="preserve">la protection des données sensibles.</w:t>
      </w:r>
    </w:p>
    <w:p>
      <w:pPr>
        <w:spacing w:after="200"/>
      </w:pPr>
    </w:p>
    <w:p>
      <w:pPr>
        <w:pStyle w:val="Heading1"/>
      </w:pPr>
      <w:r>
        <w:t xml:space="preserve">Bonnes pratiques de développement</w:t>
      </w:r>
    </w:p>
    <w:p>
      <w:pPr>
        <w:spacing w:after="100"/>
      </w:pPr>
      <w:r>
        <w:t xml:space="preserve">Les développements backend doivent respecter :</w:t>
      </w:r>
    </w:p>
    <w:p>
      <w:pPr>
        <w:pStyle w:val="ListParagraph"/>
        <w:numPr>
          <w:ilvl w:val="0"/>
          <w:numId w:val="1"/>
        </w:numPr>
      </w:pPr>
      <w:r>
        <w:t xml:space="preserve">une organisation claire du code ;</w:t>
      </w:r>
    </w:p>
    <w:p>
      <w:pPr>
        <w:pStyle w:val="ListParagraph"/>
        <w:numPr>
          <w:ilvl w:val="0"/>
          <w:numId w:val="1"/>
        </w:numPr>
      </w:pPr>
      <w:r>
        <w:t xml:space="preserve">des principes de maintenabilité ;</w:t>
      </w:r>
    </w:p>
    <w:p>
      <w:pPr>
        <w:pStyle w:val="ListParagraph"/>
        <w:numPr>
          <w:ilvl w:val="0"/>
          <w:numId w:val="1"/>
        </w:numPr>
      </w:pPr>
      <w:r>
        <w:t xml:space="preserve">une séparation des responsabilités ;</w:t>
      </w:r>
    </w:p>
    <w:p>
      <w:pPr>
        <w:pStyle w:val="ListParagraph"/>
        <w:numPr>
          <w:ilvl w:val="0"/>
          <w:numId w:val="1"/>
        </w:numPr>
      </w:pPr>
      <w:r>
        <w:t xml:space="preserve">une documentation régulière ;</w:t>
      </w:r>
    </w:p>
    <w:p>
      <w:pPr>
        <w:pStyle w:val="ListParagraph"/>
        <w:numPr>
          <w:ilvl w:val="0"/>
          <w:numId w:val="1"/>
        </w:numPr>
      </w:pPr>
      <w:r>
        <w:t xml:space="preserve">des tests adaptés.</w:t>
      </w:r>
    </w:p>
    <w:p>
      <w:pPr>
        <w:spacing w:after="200"/>
      </w:pPr>
    </w:p>
    <w:p>
      <w:pPr>
        <w:pStyle w:val="Heading1"/>
      </w:pPr>
      <w:r>
        <w:t xml:space="preserve">Documentation complémentaire</w:t>
      </w:r>
    </w:p>
    <w:p>
      <w:pPr>
        <w:spacing w:after="100"/>
      </w:pPr>
      <w:r>
        <w:t xml:space="preserve">Cette page sera complétée avec :</w:t>
      </w:r>
    </w:p>
    <w:p>
      <w:pPr>
        <w:pStyle w:val="ListParagraph"/>
        <w:numPr>
          <w:ilvl w:val="0"/>
          <w:numId w:val="1"/>
        </w:numPr>
      </w:pPr>
      <w:r>
        <w:t xml:space="preserve">la liste détaillée des microservices ;</w:t>
      </w:r>
    </w:p>
    <w:p>
      <w:pPr>
        <w:pStyle w:val="ListParagraph"/>
        <w:numPr>
          <w:ilvl w:val="0"/>
          <w:numId w:val="1"/>
        </w:numPr>
      </w:pPr>
      <w:r>
        <w:t xml:space="preserve">l'organisation des dépôts ;</w:t>
      </w:r>
    </w:p>
    <w:p>
      <w:pPr>
        <w:pStyle w:val="ListParagraph"/>
        <w:numPr>
          <w:ilvl w:val="0"/>
          <w:numId w:val="1"/>
        </w:numPr>
      </w:pPr>
      <w:r>
        <w:t xml:space="preserve">les conventions de développement ;</w:t>
      </w:r>
    </w:p>
    <w:p>
      <w:pPr>
        <w:pStyle w:val="ListParagraph"/>
        <w:numPr>
          <w:ilvl w:val="0"/>
          <w:numId w:val="1"/>
        </w:numPr>
      </w:pPr>
      <w:r>
        <w:t xml:space="preserve">les procédures de déploiement ;</w:t>
      </w:r>
    </w:p>
    <w:p>
      <w:pPr>
        <w:pStyle w:val="ListParagraph"/>
        <w:numPr>
          <w:ilvl w:val="0"/>
          <w:numId w:val="1"/>
        </w:numPr>
      </w:pPr>
      <w:r>
        <w:t xml:space="preserve">les guides de contribution backend.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2026-08-20T07:54:04.412Z</dcterms:created>
  <dcterms:modified xsi:type="dcterms:W3CDTF">2026-08-20T07:54:04.423Z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